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290 UmwG 1995 — Abfindungsangebot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das Abfindungsangebot nach § 207 Abs. 1 Satz 2 sind § 270 Abs. 1 sowie § 282 Abs. 2 entsprechend anzuwenden.</w:t>
      </w:r>
    </w:p>
    <w:p>
      <w:r>
        <w:rPr>
          <w:color w:val="555555"/>
          <w:sz w:val="17"/>
        </w:rPr>
        <w:t xml:space="preserve">Zitiervorschlag: § 290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https://recht.nulegal.eu/gesetze/UmwG%201995/290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