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UmwG 1995 — Abfindungsangebot im Verschmelzungsvertrag</w:t>
      </w:r>
    </w:p>
    <w:p>
      <w:r>
        <w:rPr>
          <w:color w:val="555555"/>
          <w:sz w:val="18"/>
        </w:rPr>
        <w:t xml:space="preserve">Umwandlungsgesetz</w:t>
      </w:r>
    </w:p>
    <w:p>
      <w:r>
        <w:rPr>
          <w:color w:val="555555"/>
          <w:sz w:val="18"/>
        </w:rPr>
        <w:t xml:space="preserve">Stand: 07.03.2023 (konsolidierte Textfassung, kein amtliches Inkrafttretensdatum)</w:t>
      </w:r>
    </w:p>
    <w:p>
      <w:r>
        <w:t xml:space="preserve">(1) Bei der Verschmelzung eines Rechtsträgers im Wege der Aufnahme durch einen Rechtsträger anderer Rechtsform oder bei der Verschmelzung einer börsennotierten Aktiengesellschaft auf eine nicht börsennotierte Aktiengesellschaft hat der übertragende Rechtsträger im Verschmelzungsvertrag oder in seinem Entwurf jedem Anteilsinhaber, der gegen den Verschmelzungsbeschluß des übertragenden Rechtsträgers Widerspruch zur Niederschrift erklärt, den Erwerb seiner Anteile oder Mitgliedschaften gegen eine angemessene Barabfindung anzubieten; § 71 Abs. 4 Satz 2 des Aktiengesetzes und § 33 Abs. 2 Satz 3 zweiter Halbsatz erste Alternative des Gesetzes betreffend die Gesellschaften mit beschränkter Haftung sind insoweit nicht anzuwenden. Das gleiche gilt, wenn bei einer Verschmelzung von Rechtsträgern derselben Rechtsform die Anteile oder Mitgliedschaften an dem übernehmenden Rechtsträger Verfügungsbeschränkungen unterworfen sind. Kann der übernehmende Rechtsträger auf Grund seiner Rechtsform eigene Anteile oder Mitgliedschaften nicht erwerben, so ist die Barabfindung für den Fall anzubieten, daß der Anteilsinhaber sein Ausscheiden aus dem Rechtsträger erklärt. Eine erforderliche Bekanntmachung des Verschmelzungsvertrags oder seines Entwurfs als Gegenstand der Beschlußfassung muß den Wortlaut dieses Angebots enthalten. Der übernehmende Rechtsträger hat die Kosten für eine Übertragung zu tragen.</w:t>
      </w:r>
    </w:p>
    <w:p>
      <w:r>
        <w:t xml:space="preserve">(2) Dem Widerspruch zur Niederschrift im Sinne des Absatzes 1 steht es gleich, wenn ein nicht erschienener Anteilsinhaber zu der Versammlung der Anteilsinhaber zu Unrecht nicht zugelassen worden ist oder die Versammlung nicht ordnungsgemäß einberufen oder der Gegenstand der Beschlußfassung nicht ordnungsgemäß bekanntgemacht worden ist.</w:t>
      </w:r>
    </w:p>
    <w:p>
      <w:r>
        <w:rPr>
          <w:color w:val="555555"/>
          <w:sz w:val="17"/>
        </w:rPr>
        <w:t xml:space="preserve">Zitiervorschlag: § 29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