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285 UmwG 1995 — Inhalt des Formwechselbeschlusses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(1) Auf den Formwechselbeschluss ist auch § 253 Abs. 1 und Abs. 2 Satz 1 entsprechend anzuwenden.</w:t>
      </w:r>
    </w:p>
    <w:p>
      <w:r>
        <w:t xml:space="preserve">(2) Sollen bei der Genossenschaft nicht alle Mitglieder mit der gleichen Zahl von Geschäftsanteilen beteiligt werden, so darf die unterschiedlich hohe Beteiligung nur nach einem oder mehreren der in § 276 Abs. 2 Satz 1 bezeichneten Maßstäbe festgesetzt werden.</w:t>
      </w:r>
    </w:p>
    <w:p>
      <w:r>
        <w:rPr>
          <w:color w:val="555555"/>
          <w:sz w:val="17"/>
        </w:rPr>
        <w:t xml:space="preserve">Zitiervorschlag: § 285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https://recht.nulegal.eu/gesetze/UmwG%201995/285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285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