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281 UmwG 1995 — Benachrichtigung der Anteilsinhaber, Veräußerung von Aktien, Hauptversammlungsbeschlüsse</w:t>
      </w:r>
    </w:p>
    <w:p>
      <w:r>
        <w:rPr>
          <w:color w:val="555555"/>
          <w:sz w:val="18"/>
        </w:rPr>
        <w:t xml:space="preserve">Umwandlungsgesetz</w:t>
      </w:r>
    </w:p>
    <w:p>
      <w:r>
        <w:rPr>
          <w:color w:val="555555"/>
          <w:sz w:val="18"/>
        </w:rPr>
        <w:t xml:space="preserve">Stand: 10.06.2019 (konsolidierte Textfassung, kein amtliches Inkrafttretensdatum)</w:t>
      </w:r>
    </w:p>
    <w:p>
      <w:r>
        <w:t xml:space="preserve">(1) Auf die Benachrichtigung der Anteilsinhaber durch die Gesellschaft, auf die Aufforderung von Aktionären zur Abholung der ihnen zustehenden Aktien und auf die Veräußerung nicht abgeholter Aktien sind die §§ 267 und 268 entsprechend anzuwenden.</w:t>
      </w:r>
    </w:p>
    <w:p>
      <w:r>
        <w:t xml:space="preserve">(2) Auf Beschlüsse der Hauptversammlung der Gesellschaft neuer Rechtsform sowie auf eine Ermächtigung des Vertretungsorgans zur Erhöhung des Grundkapitals ist § 269 entsprechend anzuwenden.</w:t>
      </w:r>
    </w:p>
    <w:p>
      <w:r>
        <w:rPr>
          <w:color w:val="555555"/>
          <w:sz w:val="17"/>
        </w:rPr>
        <w:t xml:space="preserve">Zitiervorschlag: § 281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https://recht.nulegal.eu/gesetze/UmwG%201995/281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281 UmwG 1995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