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280 UmwG 1995 — Wirkungen des Formwechsels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Durch den Formwechsel werden die bisherigen Mitgliedschaften zu Anteilen an der Gesellschaft neuer Rechtsform und zu Teilrechten. § 266 Abs. 1 Satz 2, Abs. 2 und 3 ist entsprechend anzuwenden.</w:t>
      </w:r>
    </w:p>
    <w:p>
      <w:r>
        <w:rPr>
          <w:color w:val="555555"/>
          <w:sz w:val="17"/>
        </w:rPr>
        <w:t xml:space="preserve">Zitiervorschlag: § 280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https://recht.nulegal.eu/gesetze/UmwG%201995/280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