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269 UmwG 1995 — Hauptversammlungsbeschlüsse, genehmigtes Kapital</w:t>
      </w:r>
    </w:p>
    <w:p>
      <w:r>
        <w:rPr>
          <w:color w:val="555555"/>
          <w:sz w:val="18"/>
        </w:rPr>
        <w:t xml:space="preserve">Umwandlungsgesetz</w:t>
      </w:r>
    </w:p>
    <w:p>
      <w:r>
        <w:rPr>
          <w:color w:val="555555"/>
          <w:sz w:val="18"/>
        </w:rPr>
        <w:t xml:space="preserve">Stand: 10.06.2019 (konsolidierte Textfassung, kein amtliches Inkrafttretensdatum)</w:t>
      </w:r>
    </w:p>
    <w:p>
      <w:r>
        <w:t xml:space="preserve">Solange beim Formwechsel in eine Aktiengesellschaft oder in eine Kommanditgesellschaft auf Aktien die abgeholten oder nach § 268 Abs. 3 veräußerten Aktien nicht insgesamt mindestens sechs Zehntel des Grundkapitals erreichen, kann die Hauptversammlung der Gesellschaft neuer Rechtsform keine Beschlüsse fassen, die nach Gesetz oder Satzung einer Kapitalmehrheit bedürfen. Das Vertretungsorgan der Gesellschaft darf während dieses Zeitraums von einer Ermächtigung zu einer Erhöhung des Grundkapitals keinen Gebrauch machen.</w:t>
      </w:r>
    </w:p>
    <w:p>
      <w:r>
        <w:rPr>
          <w:color w:val="555555"/>
          <w:sz w:val="17"/>
        </w:rPr>
        <w:t xml:space="preserve">Zitiervorschlag: § 269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https://recht.nulegal.eu/gesetze/UmwG%201995/269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