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268 UmwG 1995 — Aufforderung an die Aktionäre; Veräußerung von Aktien</w:t>
      </w:r>
    </w:p>
    <w:p>
      <w:r>
        <w:rPr>
          <w:color w:val="555555"/>
          <w:sz w:val="18"/>
        </w:rPr>
        <w:t xml:space="preserve">Umwandlungsgesetz</w:t>
      </w:r>
    </w:p>
    <w:p>
      <w:r>
        <w:rPr>
          <w:color w:val="555555"/>
          <w:sz w:val="18"/>
        </w:rPr>
        <w:t xml:space="preserve">Stand: 10.06.2019 (konsolidierte Textfassung, kein amtliches Inkrafttretensdatum)</w:t>
      </w:r>
    </w:p>
    <w:p>
      <w:r>
        <w:t xml:space="preserve">(1) In der Mitteilung nach § 267 sind Aktionäre aufzufordern, die ihnen zustehenden Aktien abzuholen. Dabei ist darauf hinzuweisen, daß die Gesellschaft berechtigt ist, Aktien, die nicht binnen sechs Monaten seit der Bekanntmachung der Aufforderung in den Gesellschaftsblättern abgeholt werden, nach dreimaliger Androhung für Rechnung der Beteiligten zu veräußern. Dieser Hinweis braucht nicht in die Bekanntmachung der Aufforderung in den Gesellschaftsblättern aufgenommen zu werden.</w:t>
      </w:r>
    </w:p>
    <w:p>
      <w:r>
        <w:t xml:space="preserve">(2) Nach Ablauf von sechs Monaten seit der Bekanntmachung der Aufforderung in den Gesellschaftsblättern hat die Gesellschaft neuer Rechtsform die Veräußerung der nicht abgeholten Aktien anzudrohen. Die Androhung ist dreimal in Abständen von mindestens einem Monat in den Gesellschaftsblättern bekanntzumachen. Die letzte Bekanntmachung muß vor dem Ablauf von einem Jahr seit der Bekanntmachung der Aufforderung ergehen.</w:t>
      </w:r>
    </w:p>
    <w:p>
      <w:r>
        <w:t xml:space="preserve">(3) Nach Ablauf von sechs Monaten seit der letzten Bekanntmachung der Androhung hat die Gesellschaft die nicht abgeholten Aktien für Rechnung der Beteiligten zum amtlichen Börsenpreis durch Vermittlung eines Kursmaklers und beim Fehlen eines Börsenpreises durch öffentliche Versteigerung zu veräußern. § 226 Abs. 3 Satz 2 bis 6 des Aktiengesetzes ist entsprechend anzuwenden.</w:t>
      </w:r>
    </w:p>
    <w:p>
      <w:r>
        <w:rPr>
          <w:color w:val="555555"/>
          <w:sz w:val="17"/>
        </w:rPr>
        <w:t xml:space="preserve">Zitiervorschlag: § 268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