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267 UmwG 1995 — Benachrichtigung der Anteilsinhaber</w:t>
      </w:r>
    </w:p>
    <w:p>
      <w:r>
        <w:rPr>
          <w:color w:val="555555"/>
          <w:sz w:val="18"/>
        </w:rPr>
        <w:t xml:space="preserve">Umwandlungsgesetz</w:t>
      </w:r>
    </w:p>
    <w:p>
      <w:r>
        <w:rPr>
          <w:color w:val="555555"/>
          <w:sz w:val="18"/>
        </w:rPr>
        <w:t xml:space="preserve">Stand: 10.06.2019 (konsolidierte Textfassung, kein amtliches Inkrafttretensdatum)</w:t>
      </w:r>
    </w:p>
    <w:p>
      <w:r>
        <w:t xml:space="preserve">(1) Das Vertretungsorgan der Gesellschaft neuer Rechtsform hat jedem Anteilsinhaber unverzüglich nach der Bekanntmachung der Eintragung der Gesellschaft in das Register deren Inhalt sowie die Zahl und, mit Ausnahme von Stückaktien, den Nennbetrag der Anteile und des Teilrechts, die auf ihn entfallen sind, in Textform mitzuteilen. Dabei soll auf die Vorschriften über Teilrechte in § 266 hingewiesen werden.</w:t>
      </w:r>
    </w:p>
    <w:p>
      <w:r>
        <w:t xml:space="preserve">(2) Zugleich mit der Mitteilung ist deren wesentlicher Inhalt in den Gesellschaftsblättern bekanntzumachen. Der Hinweis nach Absatz 1 Satz 2 braucht in die Bekanntmachung nicht aufgenommen zu werden.</w:t>
      </w:r>
    </w:p>
    <w:p>
      <w:r>
        <w:rPr>
          <w:color w:val="555555"/>
          <w:sz w:val="17"/>
        </w:rPr>
        <w:t xml:space="preserve">Zitiervorschlag: § 267 UmwG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https://recht.nulegal.eu/gesetze/UmwG%201995/267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