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263 UmwG 1995 — Inhalt des Formwechselbeschlusses</w:t>
      </w:r>
    </w:p>
    <w:p>
      <w:r>
        <w:rPr>
          <w:color w:val="555555"/>
          <w:sz w:val="18"/>
        </w:rPr>
        <w:t xml:space="preserve">Umwandlungsgesetz</w:t>
      </w:r>
    </w:p>
    <w:p>
      <w:r>
        <w:rPr>
          <w:color w:val="555555"/>
          <w:sz w:val="18"/>
        </w:rPr>
        <w:t xml:space="preserve">Stand: 07.03.2023 (konsolidierte Textfassung, kein amtliches Inkrafttretensdatum)</w:t>
      </w:r>
    </w:p>
    <w:p>
      <w:r>
        <w:t xml:space="preserve">(1) Auf den Formwechselbeschluss sind auch die §§ 218, 243 Abs. 3 und § 244 Abs. 2 entsprechend anzuwenden.</w:t>
      </w:r>
    </w:p>
    <w:p>
      <w:r>
        <w:t xml:space="preserve">(2) In dem Beschluß ist bei der Festlegung von Zahl, Art und Umfang der Anteile (§ 194 Abs. 1 Nr. 4) zu bestimmen, daß an dem Stammkapital oder an dem Grundkapital der Gesellschaft neuer Rechtsform jedes Mitglied, das die Rechtsstellung eines beschränkt haftenden Gesellschafters oder eines Aktionärs erlangt, in dem Verhältnis beteiligt wird, in dem am Ende des letzten vor der Beschlußfassung über den Formwechsel abgelaufenen Geschäftsjahres sein Geschäftsguthaben zur Summe der Geschäftsguthaben aller Mitglieder gestanden hat, die durch den Formwechsel Gesellschafter oder Aktionäre geworden sind. Der Nennbetrag des Grundkapitals ist so zu bemessen, daß auf jedes Mitglied möglichst volle Aktien entfallen.</w:t>
      </w:r>
    </w:p>
    <w:p>
      <w:r>
        <w:t xml:space="preserve">(3) Die Geschäftsanteile einer Gesellschaft mit beschränkter Haftung sollen auf einen höheren Nennbetrag als hundert Euro nur gestellt werden, soweit auf die Mitglieder der formwechselnden Genossenschaft volle Geschäftsanteile mit dem höheren Nennbetrag entfallen. Aktien können auf einen höheren Betrag als den Mindestbetrag nach § 8 Abs. 2 und 3 des Aktiengesetzes nur gestellt werden, soweit volle Aktien mit dem höheren Betrag auf die Mitglieder entfallen. Wird das Vertretungsorgan der Aktiengesellschaft oder der Kommanditgesellschaft auf Aktien in der Satzung ermächtigt, das Grundkapital bis zu einem bestimmten Nennbetrag durch Ausgabe neuer Aktien gegen Einlagen zu erhöhen, so darf die Ermächtigung nicht vorsehen, daß das Vertretungsorgan über den Ausschluß des Bezugsrechts entscheidet.</w:t>
      </w:r>
    </w:p>
    <w:p>
      <w:r>
        <w:rPr>
          <w:color w:val="555555"/>
          <w:sz w:val="17"/>
        </w:rPr>
        <w:t xml:space="preserve">Zitiervorschlag: § 263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https://recht.nulegal.eu/gesetze/UmwG%201995/263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