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261 UmwG 1995 — Durchführung der Generalversammlung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07.03.2023 (konsolidierte Textfassung, kein amtliches Inkrafttretensdatum)</w:t>
      </w:r>
    </w:p>
    <w:p>
      <w:r>
        <w:t xml:space="preserve">(1) In der Generalversammlung, die den Formwechsel beschließen soll, ist der Formwechselbericht, sofern er nach diesem Buch erforderlich ist, und das nach § 259 erstattete Prüfungsgutachten auszulegen. Der Vorstand hat den Formwechselbeschluss zu Beginn der Verhandlung mündlich zu erläutern.</w:t>
      </w:r>
    </w:p>
    <w:p>
      <w:r>
        <w:t xml:space="preserve">(2) Das Prüfungsgutachten ist in der Generalversammlung zu verlesen. Der Prüfungsverband ist berechtigt, an der Generalversammlung beratend teilzunehmen.</w:t>
      </w:r>
    </w:p>
    <w:p>
      <w:r>
        <w:rPr>
          <w:color w:val="555555"/>
          <w:sz w:val="17"/>
        </w:rPr>
        <w:t xml:space="preserve">Zitiervorschlag: § 261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https://recht.nulegal.eu/gesetze/UmwG%201995/261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