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255 UmwG 1995 — Wirkungen des Formwechsels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(1) Jeder Anteilsinhaber, der die Rechtsstellung eines Mitglieds erlangt, ist bei der Genossenschaft nach Maßgabe des Formwechselbeschlusses beteiligt. Eine Verpflichtung zur Übernahme weiterer Geschäftsanteile bleibt unberührt. § 202 Abs. 1 Nr. 2 Satz 2 ist mit der Maßgabe anzuwenden, daß die an den bisherigen Anteilen bestehenden Rechte Dritter an den durch den Formwechsel erlangten Geschäftsguthaben weiterbestehen.</w:t>
      </w:r>
    </w:p>
    <w:p>
      <w:r>
        <w:t xml:space="preserve">(2) Das Gericht darf eine Auflösung der Genossenschaft von Amts wegen nach § 80 des Genossenschaftsgesetzes nicht vor Ablauf eines Jahres seit dem Wirksamwerden des Formwechsels aussprechen.</w:t>
      </w:r>
    </w:p>
    <w:p>
      <w:r>
        <w:t xml:space="preserve">(3) Durch den Formwechsel einer Kommanditgesellschaft auf Aktien scheiden deren persönlich haftende Gesellschafter als solche aus dem Rechtsträger aus.</w:t>
      </w:r>
    </w:p>
    <w:p>
      <w:r>
        <w:rPr>
          <w:color w:val="555555"/>
          <w:sz w:val="17"/>
        </w:rPr>
        <w:t xml:space="preserve">Zitiervorschlag: § 255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https://recht.nulegal.eu/gesetze/UmwG%201995/255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255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