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253 UmwG 1995 — Inhalt des Formwechselbeschlusses</w:t>
      </w:r>
    </w:p>
    <w:p>
      <w:r>
        <w:rPr>
          <w:color w:val="555555"/>
          <w:sz w:val="18"/>
        </w:rPr>
        <w:t xml:space="preserve">Umwandlungsgesetz</w:t>
      </w:r>
    </w:p>
    <w:p>
      <w:r>
        <w:rPr>
          <w:color w:val="555555"/>
          <w:sz w:val="18"/>
        </w:rPr>
        <w:t xml:space="preserve">Stand: 07.03.2023 (konsolidierte Textfassung, kein amtliches Inkrafttretensdatum)</w:t>
      </w:r>
    </w:p>
    <w:p>
      <w:r>
        <w:t xml:space="preserve">(1) In dem Formwechselbeschluss muß auch die Satzung der Genossenschaft enthalten sein. Eine Unterzeichnung der Satzung durch die Mitglieder ist nicht erforderlich.</w:t>
      </w:r>
    </w:p>
    <w:p>
      <w:r>
        <w:t xml:space="preserve">(2) Der Formwechselbeschluss muß die Beteiligung jedes Mitglieds mit mindestens einem Geschäftsanteil vorsehen. In dem Beschluß kann auch bestimmt werden, daß jedes Mitglied bei der Genossenschaft mit mindestens einem und im übrigen mit so vielen Geschäftsanteilen, wie sie durch Anrechnung seines Geschäftsguthabens bei dieser Genossenschaft als voll eingezahlt anzusehen sind, beteiligt wird.</w:t>
      </w:r>
    </w:p>
    <w:p>
      <w:r>
        <w:rPr>
          <w:color w:val="555555"/>
          <w:sz w:val="17"/>
        </w:rPr>
        <w:t xml:space="preserve">Zitiervorschlag: § 253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253 UmwG 1995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