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251 UmwG 1995 — Vorbereitung und Durchführung der Versammlung der Anteilsinhaber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Vorbereitung der Gesellschafterversammlung oder der Hauptversammlung, die den Formwechsel beschließen soll, sind die §§ 229 bis 231 entsprechend anzuwenden. § 192 Abs. 2 bleibt unberührt.</w:t>
      </w:r>
    </w:p>
    <w:p>
      <w:r>
        <w:t xml:space="preserve">(2) Auf die Gesellschafterversammlung oder die Hauptversammlung, die den Formwechsel beschließen soll, ist § 239 Abs. 1 Satz 1, auf die Hauptversammlung auch § 239 Abs. 1 Satz 2 und Abs. 2 entsprechend anzuwenden.</w:t>
      </w:r>
    </w:p>
    <w:p>
      <w:r>
        <w:rPr>
          <w:color w:val="555555"/>
          <w:sz w:val="17"/>
        </w:rPr>
        <w:t xml:space="preserve">Zitiervorschlag: § 251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