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246 UmwG 1995 — Anmeldung des Formwechsels</w:t>
      </w:r>
    </w:p>
    <w:p>
      <w:r>
        <w:rPr>
          <w:color w:val="555555"/>
          <w:sz w:val="18"/>
        </w:rPr>
        <w:t xml:space="preserve">Umwandlungsgesetz</w:t>
      </w:r>
    </w:p>
    <w:p>
      <w:r>
        <w:rPr>
          <w:color w:val="555555"/>
          <w:sz w:val="18"/>
        </w:rPr>
        <w:t xml:space="preserve">Stand: 10.06.2019 (konsolidierte Textfassung, kein amtliches Inkrafttretensdatum)</w:t>
      </w:r>
    </w:p>
    <w:p>
      <w:r>
        <w:t xml:space="preserve">(1) Die Anmeldung nach § 198 ist durch das Vertretungsorgan der formwechselnden Gesellschaft vorzunehmen.</w:t>
      </w:r>
    </w:p>
    <w:p>
      <w:r>
        <w:t xml:space="preserve">(2) Zugleich mit der neuen Rechtsform oder mit dem Rechtsträger neuer Rechtsform sind die Geschäftsführer der Gesellschaft mit beschränkter Haftung, die Vorstandsmitglieder der Aktiengesellschaft oder die persönlich haftenden Gesellschafter der Kommanditgesellschaft auf Aktien zur Eintragung in das Register anzumelden.</w:t>
      </w:r>
    </w:p>
    <w:p>
      <w:r>
        <w:t xml:space="preserve">(3) § 8 Abs. 2 des Gesetzes betreffend die Gesellschaften mit beschränkter Haftung und § 37 Abs. 1 des Aktiengesetzes sind auf die Anmeldung nach § 198 nicht anzuwenden.</w:t>
      </w:r>
    </w:p>
    <w:p>
      <w:r>
        <w:rPr>
          <w:color w:val="555555"/>
          <w:sz w:val="17"/>
        </w:rPr>
        <w:t xml:space="preserve">Zitiervorschlag: § 246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https://recht.nulegal.eu/gesetze/UmwG%201995/246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246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