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244 UmwG 1995 — Niederschrift über den Formwechselbeschluss, Gesellschaftsvertrag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In der Niederschrift über den Formwechselbeschluss sind die Personen, die nach § 245 Abs. 1 bis 3 den Gründern der Gesellschaft gleichstehen, namentlich aufzuführen.</w:t>
      </w:r>
    </w:p>
    <w:p>
      <w:r>
        <w:t xml:space="preserve">(2) Beim Formwechsel einer Aktiengesellschaft oder einer Kommanditgesellschaft auf Aktien in eine Gesellschaft mit beschränkter Haftung braucht der Gesellschaftsvertrag von den Gesellschaftern nicht unterzeichnet zu werden.</w:t>
      </w:r>
    </w:p>
    <w:p>
      <w:r>
        <w:rPr>
          <w:color w:val="555555"/>
          <w:sz w:val="17"/>
        </w:rPr>
        <w:t xml:space="preserve">Zitiervorschlag: § 244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