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242 UmwG 1995 — Zustimmungserfordernis beim Formwechsel einer Aktiengesellschaft oder einer Kommanditgesellschaft auf Aktien</w:t>
      </w:r>
    </w:p>
    <w:p>
      <w:r>
        <w:rPr>
          <w:color w:val="555555"/>
          <w:sz w:val="18"/>
        </w:rPr>
        <w:t xml:space="preserve">Umwandlungsgesetz</w:t>
      </w:r>
    </w:p>
    <w:p>
      <w:r>
        <w:rPr>
          <w:color w:val="555555"/>
          <w:sz w:val="18"/>
        </w:rPr>
        <w:t xml:space="preserve">Stand: 07.03.2023 (konsolidierte Textfassung, kein amtliches Inkrafttretensdatum)</w:t>
      </w:r>
    </w:p>
    <w:p>
      <w:r>
        <w:t xml:space="preserve">Wird durch den Formwechselbeschluss einer formwechselnden Aktiengesellschaft oder Kommanditgesellschaft auf Aktien der Nennbetrag der Geschäftsanteile in dem Gesellschaftsvertrag der Gesellschaft mit beschränkter Haftung abweichend vom Betrag der Aktien festgesetzt, so muß der Festsetzung jeder Aktionär zustimmen, der sich nicht mit seinem gesamten Anteil beteiligen kann.</w:t>
      </w:r>
    </w:p>
    <w:p>
      <w:r>
        <w:rPr>
          <w:color w:val="555555"/>
          <w:sz w:val="17"/>
        </w:rPr>
        <w:t xml:space="preserve">Zitiervorschlag: § 242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