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240 UmwG 1995 — Beschluß der Versammlung der Anteilsinhaber</w:t>
      </w:r>
    </w:p>
    <w:p>
      <w:r>
        <w:rPr>
          <w:color w:val="555555"/>
          <w:sz w:val="18"/>
        </w:rPr>
        <w:t xml:space="preserve">Umwandlungsgesetz</w:t>
      </w:r>
    </w:p>
    <w:p>
      <w:r>
        <w:rPr>
          <w:color w:val="555555"/>
          <w:sz w:val="18"/>
        </w:rPr>
        <w:t xml:space="preserve">Stand: 07.03.2023 (konsolidierte Textfassung, kein amtliches Inkrafttretensdatum)</w:t>
      </w:r>
    </w:p>
    <w:p>
      <w:r>
        <w:t xml:space="preserve">(1) Der Formwechselbeschluss bedarf einer Mehrheit von mindestens drei Vierteln der bei der Gesellschafterversammlung einer Gesellschaft mit beschränkter Haftung abgegebenen Stimmen oder des bei der Beschlußfassung einer Aktiengesellschaft oder einer Kommanditgesellschaft auf Aktien vertretenen Grundkapitals; § 65 Abs. 2 ist entsprechend anzuwenden. Der Gesellschaftsvertrag oder die Satzung der formwechselnden Gesellschaft kann eine größere Mehrheit und weitere Erfordernisse, beim Formwechsel einer Kommanditgesellschaft auf Aktien in eine Aktiengesellschaft auch eine geringere Mehrheit bestimmen.</w:t>
      </w:r>
    </w:p>
    <w:p>
      <w:r>
        <w:t xml:space="preserve">(2) Dem Formwechsel einer Gesellschaft mit beschränkter Haftung oder einer Aktiengesellschaft in eine Kommanditgesellschaft auf Aktien müssen alle Gesellschafter oder Aktionäre zustimmen, die in der Gesellschaft neuer Rechtsform die Stellung eines persönlich haftenden Gesellschafters haben sollen. Auf den Beitritt persönlich haftender Gesellschafter ist § 221 entsprechend anzuwenden.</w:t>
      </w:r>
    </w:p>
    <w:p>
      <w:r>
        <w:t xml:space="preserve">(3) Dem Formwechsel einer Kommanditgesellschaft auf Aktien müssen ferner deren persönlich haftende Gesellschafter zustimmen. Die Satzung der formwechselnden Gesellschaft kann eine Mehrheitsentscheidung dieser Gesellschafter vorsehen.</w:t>
      </w:r>
    </w:p>
    <w:p>
      <w:r>
        <w:rPr>
          <w:color w:val="555555"/>
          <w:sz w:val="17"/>
        </w:rPr>
        <w:t xml:space="preserve">Zitiervorschlag: § 240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