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239 UmwG 1995 — Durchführung der Versammlung der Anteilsinhaber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In der Gesellschafterversammlung oder in der Hauptversammlung, die den Formwechsel beschließen soll, ist der Formwechselbericht auszulegen. In der Hauptversammlung kann der Formwechselbericht auch auf andere Weise zugänglich gemacht werden.</w:t>
      </w:r>
    </w:p>
    <w:p>
      <w:r>
        <w:t xml:space="preserve">(2) Der Entwurf des Formwechselbeschlusses einer Aktiengesellschaft oder einer Kommanditgesellschaft auf Aktien ist von deren Vertretungsorgan zu Beginn der Verhandlung mündlich zu erläutern.</w:t>
      </w:r>
    </w:p>
    <w:p>
      <w:r>
        <w:rPr>
          <w:color w:val="555555"/>
          <w:sz w:val="17"/>
        </w:rPr>
        <w:t xml:space="preserve">Zitiervorschlag: § 239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