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232 UmwG 1995 — Durchführung der Versammlung der Anteilsinhaber</w:t>
      </w:r>
    </w:p>
    <w:p>
      <w:r>
        <w:rPr>
          <w:color w:val="555555"/>
          <w:sz w:val="18"/>
        </w:rPr>
        <w:t xml:space="preserve">Umwandlungsgesetz</w:t>
      </w:r>
    </w:p>
    <w:p>
      <w:r>
        <w:rPr>
          <w:color w:val="555555"/>
          <w:sz w:val="18"/>
        </w:rPr>
        <w:t xml:space="preserve">Stand: 07.03.2023 (konsolidierte Textfassung, kein amtliches Inkrafttretensdatum)</w:t>
      </w:r>
    </w:p>
    <w:p>
      <w:r>
        <w:t xml:space="preserve">(1) In der Gesellschafterversammlung oder in der Hauptversammlung, die den Formwechsel beschließen soll, ist der Formwechselbericht auszulegen. In der Hauptversammlung kann der Formwechselbericht auch auf andere Weise zugänglich gemacht werden.</w:t>
      </w:r>
    </w:p>
    <w:p>
      <w:r>
        <w:t xml:space="preserve">(2) Der Entwurf des Formwechselbeschlusses einer Aktiengesellschaft oder einer Kommanditgesellschaft auf Aktien ist von deren Vertretungsorgan zu Beginn der Verhandlung mündlich zu erläutern.</w:t>
      </w:r>
    </w:p>
    <w:p>
      <w:r>
        <w:rPr>
          <w:color w:val="555555"/>
          <w:sz w:val="17"/>
        </w:rPr>
        <w:t xml:space="preserve">Zitiervorschlag: § 232 UmwG 1995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https://recht.nulegal.eu/gesetze/UmwG%201995/232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