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UmwG 1995 — Schutz der Inhaber von Sonderrechten</w:t>
      </w:r>
    </w:p>
    <w:p>
      <w:r>
        <w:rPr>
          <w:color w:val="555555"/>
          <w:sz w:val="18"/>
        </w:rPr>
        <w:t xml:space="preserve">Umwandlungsgesetz</w:t>
      </w:r>
    </w:p>
    <w:p>
      <w:r>
        <w:rPr>
          <w:color w:val="555555"/>
          <w:sz w:val="18"/>
        </w:rPr>
        <w:t xml:space="preserve">Stand: 10.06.2019 (konsolidierte Textfassung, kein amtliches Inkrafttretensdatum)</w:t>
      </w:r>
    </w:p>
    <w:p>
      <w:r>
        <w:t xml:space="preserve">Den Inhabern von Rechten in einem übertragenden Rechtsträger, die kein Stimmrecht gewähren, insbesondere den Inhabern von Anteilen ohne Stimmrecht, von Wandelschuldverschreibungen, von Gewinnschuldverschreibungen und von Genußrechten, sind gleichwertige Rechte in dem übernehmenden Rechtsträger zu gewähren.</w:t>
      </w:r>
    </w:p>
    <w:p>
      <w:r>
        <w:rPr>
          <w:color w:val="555555"/>
          <w:sz w:val="17"/>
        </w:rPr>
        <w:t xml:space="preserve">Zitiervorschlag: § 23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