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228 UmwG 1995 — Möglichkeit des Formwechsels</w:t>
      </w:r>
    </w:p>
    <w:p>
      <w:r>
        <w:rPr>
          <w:color w:val="555555"/>
          <w:sz w:val="18"/>
        </w:rPr>
        <w:t xml:space="preserve">Umwandlungsgesetz</w:t>
      </w:r>
    </w:p>
    <w:p>
      <w:r>
        <w:rPr>
          <w:color w:val="555555"/>
          <w:sz w:val="18"/>
        </w:rPr>
        <w:t xml:space="preserve">Stand: 01.01.2024 (konsolidierte Textfassung, kein amtliches Inkrafttretensdatum)</w:t>
      </w:r>
    </w:p>
    <w:p>
      <w:r>
        <w:t xml:space="preserve">(1) Durch den Formwechsel kann eine Kapitalgesellschaft die Rechtsform einer Personenhandelsgesellschaft nur erlangen, wenn der Unternehmensgegenstand im Zeitpunkt des Wirksamwerdens des Formwechsels den Vorschriften über die Gründung einer offenen Handelsgesellschaft (§ 105 Absatz 1 und § 107 Absatz 1 des Handelsgesetzbuchs) genügt.</w:t>
      </w:r>
    </w:p>
    <w:p>
      <w:r>
        <w:t xml:space="preserve">(2) Ein Formwechsel in eine Partnerschaftsgesellschaft ist nur möglich, wenn im Zeitpunkt seines Wirksamwerdens alle Anteilsinhaber des formwechselnden Rechtsträgers natürliche Personen sind, die einen Freien Beruf ausüben (§ 1 Abs. 1 und 2 des Partnerschaftsgesellschaftsgesetzes). § 1 Abs. 3 des Partnerschaftsgesellschaftsgesetzes bleibt unberührt.</w:t>
      </w:r>
    </w:p>
    <w:p>
      <w:r>
        <w:t xml:space="preserve">(3) Ein Formwechsel in eine Gesellschaft bürgerlichen Rechts ist nur möglich, wenn die Gesellschaft kein Handelsgewerbe gemäß § 1 Absatz 2 des Handelsgesetzbuchs betreibt.</w:t>
      </w:r>
    </w:p>
    <w:p>
      <w:r>
        <w:rPr>
          <w:color w:val="555555"/>
          <w:sz w:val="17"/>
        </w:rPr>
        <w:t xml:space="preserve">Zitiervorschlag: § 228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