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220 UmwG 1995 — Kapitalschutz</w:t>
      </w:r>
    </w:p>
    <w:p>
      <w:r>
        <w:rPr>
          <w:color w:val="555555"/>
          <w:sz w:val="18"/>
        </w:rPr>
        <w:t xml:space="preserve">Umwandlungsgesetz</w:t>
      </w:r>
    </w:p>
    <w:p>
      <w:r>
        <w:rPr>
          <w:color w:val="555555"/>
          <w:sz w:val="18"/>
        </w:rPr>
        <w:t xml:space="preserve">Stand: 10.06.2019 (konsolidierte Textfassung, kein amtliches Inkrafttretensdatum)</w:t>
      </w:r>
    </w:p>
    <w:p>
      <w:r>
        <w:t xml:space="preserve">(1) Der Nennbetrag des Stammkapitals einer Gesellschaft mit beschränkter Haftung oder des Grundkapitals einer Aktiengesellschaft oder einer Kommanditgesellschaft auf Aktien darf das nach Abzug der Schulden verbleibende Vermögen der formwechselnden Gesellschaft nicht übersteigen.</w:t>
      </w:r>
    </w:p>
    <w:p>
      <w:r>
        <w:t xml:space="preserve">(2) In dem Sachgründungsbericht beim Formwechsel in eine Gesellschaft mit beschränkter Haftung oder in dem Gründungsbericht beim Formwechsel in eine Aktiengesellschaft oder in eine Kommanditgesellschaft auf Aktien sind auch der bisherige Geschäftsverlauf und die Lage der formwechselnden Gesellschaft darzulegen.</w:t>
      </w:r>
    </w:p>
    <w:p>
      <w:r>
        <w:t xml:space="preserve">(3) Beim Formwechsel in eine Aktiengesellschaft oder in eine Kommanditgesellschaft auf Aktien hat die Gründungsprüfung durch einen oder mehrere Prüfer (§ 33 Abs. 2 des Aktiengesetzes) in jedem Fall stattzufinden. Die für Nachgründungen in § 52 Abs. 1 des Aktiengesetzes bestimmte Frist von zwei Jahren beginnt mit dem Wirksamwerden des Formwechsels.</w:t>
      </w:r>
    </w:p>
    <w:p>
      <w:r>
        <w:rPr>
          <w:color w:val="555555"/>
          <w:sz w:val="17"/>
        </w:rPr>
        <w:t xml:space="preserve">Zitiervorschlag: § 220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