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214 UmwG 1995 — Möglichkeit des Formwechsels</w:t>
      </w:r>
    </w:p>
    <w:p>
      <w:r>
        <w:rPr>
          <w:color w:val="555555"/>
          <w:sz w:val="18"/>
        </w:rPr>
        <w:t xml:space="preserve">Umwandlungsgesetz</w:t>
      </w:r>
    </w:p>
    <w:p>
      <w:r>
        <w:rPr>
          <w:color w:val="555555"/>
          <w:sz w:val="18"/>
        </w:rPr>
        <w:t xml:space="preserve">Stand: 01.01.2024 (konsolidierte Textfassung, kein amtliches Inkrafttretensdatum)</w:t>
      </w:r>
    </w:p>
    <w:p>
      <w:r>
        <w:t xml:space="preserve">(1) Eine Gesellschaft bürgerlichen Rechts oder eine Personenhandelsgesellschaft kann aufgrund eines Formwechselbeschlusses nach diesem Gesetz nur die Rechtsform einer Kapitalgesellschaft oder einer eingetragenen Genossenschaft erlangen.</w:t>
      </w:r>
    </w:p>
    <w:p>
      <w:r>
        <w:t xml:space="preserve">(2) Eine aufgelöste Gesellschaft bürgerlichen Rechts und eine aufgelöste Personenhandelsgesellschaft können die Rechtsform nicht wechseln, wenn die Gesellschafter eine andere Art der Auseinandersetzung als die Abwicklung durch Liquidation oder als den Formwechsel vereinbart haben.</w:t>
      </w:r>
    </w:p>
    <w:p>
      <w:r>
        <w:rPr>
          <w:color w:val="555555"/>
          <w:sz w:val="17"/>
        </w:rPr>
        <w:t xml:space="preserve">Zitiervorschlag: § 214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