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 UmwG 1995 — Inhalt des Anspruchs auf Barabfindung und Prüfung der Barabfindung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Anspruch auf Barabfindung ist § 30 entsprechend anzuwenden.</w:t>
      </w:r>
    </w:p>
    <w:p>
      <w:r>
        <w:rPr>
          <w:color w:val="555555"/>
          <w:sz w:val="17"/>
        </w:rPr>
        <w:t xml:space="preserve">Zitiervorschlag: § 208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