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191 UmwG 1995 — Einbezogene Rechtsträger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Formwechselnde Rechtsträger können sein:</w:t>
      </w:r>
    </w:p>
    <w:p>
      <w:pPr>
        <w:ind w:left="420"/>
      </w:pPr>
      <w:r>
        <w:t xml:space="preserve">1. eingetragene Gesellschaften bürgerlichen Rechts, Personenhandelsgesellschaften (offene Handelsgesellschaft, Kommanditgesellschaft) und Partnerschaftsgesellschaften;</w:t>
      </w:r>
    </w:p>
    <w:p>
      <w:pPr>
        <w:ind w:left="420"/>
      </w:pPr>
      <w:r>
        <w:t xml:space="preserve">2. Kapitalgesellschaften (§ 3 Abs. 1 Nr. 2);</w:t>
      </w:r>
    </w:p>
    <w:p>
      <w:pPr>
        <w:ind w:left="420"/>
      </w:pPr>
      <w:r>
        <w:t xml:space="preserve">3. eingetragene Genossenschaften;</w:t>
      </w:r>
    </w:p>
    <w:p>
      <w:pPr>
        <w:ind w:left="420"/>
      </w:pPr>
      <w:r>
        <w:t xml:space="preserve">4. rechtsfähige Vereine;</w:t>
      </w:r>
    </w:p>
    <w:p>
      <w:pPr>
        <w:ind w:left="420"/>
      </w:pPr>
      <w:r>
        <w:t xml:space="preserve">5. Versicherungsvereine auf Gegenseitigkeit;</w:t>
      </w:r>
    </w:p>
    <w:p>
      <w:pPr>
        <w:ind w:left="420"/>
      </w:pPr>
      <w:r>
        <w:t xml:space="preserve">6. Körperschaften und Anstalten des öffentlichen Rechts.</w:t>
      </w:r>
    </w:p>
    <w:p>
      <w:r>
        <w:t xml:space="preserve">(2) Rechtsträger neuer Rechtsform können sein:</w:t>
      </w:r>
    </w:p>
    <w:p>
      <w:pPr>
        <w:ind w:left="420"/>
      </w:pPr>
      <w:r>
        <w:t xml:space="preserve">1. eingetragene Gesellschaften bürgerlichen Rechts, Personenhandelsgesellschaften (offene Handelsgesellschaft, Kommanditgesellschaft) und Partnerschaftsgesellschaften;</w:t>
      </w:r>
    </w:p>
    <w:p>
      <w:pPr>
        <w:ind w:left="420"/>
      </w:pPr>
      <w:r>
        <w:t xml:space="preserve">2. Kapitalgesellschaften;</w:t>
      </w:r>
    </w:p>
    <w:p>
      <w:pPr>
        <w:ind w:left="420"/>
      </w:pPr>
      <w:r>
        <w:t xml:space="preserve">3. eingetragene Genossenschaften.</w:t>
      </w:r>
    </w:p>
    <w:p>
      <w:r>
        <w:t xml:space="preserve">(3) Der Formwechsel ist auch bei aufgelösten Rechtsträgern möglich, wenn ihre Fortsetzung in der bisherigen Rechtsform beschlossen werden könnte.</w:t>
      </w:r>
    </w:p>
    <w:p>
      <w:r>
        <w:rPr>
          <w:color w:val="555555"/>
          <w:sz w:val="17"/>
        </w:rPr>
        <w:t xml:space="preserve">Zitiervorschlag: § 191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https://recht.nulegal.eu/gesetze/UmwG%201995/191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