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190 UmwG 1995 — Allgemeiner Anwendungsbereich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Rechtsträger kann durch Formwechsel eine andere Rechtsform erhalten.</w:t>
      </w:r>
    </w:p>
    <w:p>
      <w:r>
        <w:t xml:space="preserve">(2) Soweit nicht in diesem Buch etwas anderes bestimmt ist, gelten die Vorschriften über den Formwechsel nicht für Änderungen der Rechtsform, die in anderen Gesetzen vorgesehen oder zugelassen sind.</w:t>
      </w:r>
    </w:p>
    <w:p>
      <w:r>
        <w:rPr>
          <w:color w:val="555555"/>
          <w:sz w:val="17"/>
        </w:rPr>
        <w:t xml:space="preserve">Zitiervorschlag: § 190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https://recht.nulegal.eu/gesetze/UmwG%201995/190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