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UmwG 1995 — Eintragung und Bekanntmachung der Verschmelzung</w:t>
      </w:r>
    </w:p>
    <w:p>
      <w:r>
        <w:rPr>
          <w:color w:val="555555"/>
          <w:sz w:val="18"/>
        </w:rPr>
        <w:t xml:space="preserve">Umwandlungsgesetz</w:t>
      </w:r>
    </w:p>
    <w:p>
      <w:r>
        <w:rPr>
          <w:color w:val="555555"/>
          <w:sz w:val="18"/>
        </w:rPr>
        <w:t xml:space="preserve">Stand: 01.08.2022 (konsolidierte Textfassung, kein amtliches Inkrafttretensdatum)</w:t>
      </w:r>
    </w:p>
    <w:p>
      <w:r>
        <w:t xml:space="preserve">(1) Die Verschmelzung darf in das Register des Sitzes des übernehmenden Rechtsträgers erst eingetragen werden, nachdem sie im Register des Sitzes jedes der übertragenden Rechtsträger eingetragen worden ist. Die Eintragung im Register des Sitzes jedes der übertragenden Rechtsträger ist mit dem Vermerk zu versehen, daß die Verschmelzung erst mit der Eintragung im Register des Sitzes des übernehmenden Rechtsträgers wirksam wird, sofern die Eintragungen in den Registern aller beteiligten Rechtsträger nicht am selben Tag erfolgen.</w:t>
      </w:r>
    </w:p>
    <w:p>
      <w:r>
        <w:t xml:space="preserve">(2) Das Gericht des Sitzes des übernehmenden Rechtsträgers hat von Amts wegen dem Gericht des Sitzes jedes der übertragenden Rechtsträger den Tag der Eintragung der Verschmelzung mitzuteilen. Nach Eingang der Mitteilung hat das Gericht des Sitzes jedes der übertragenden Rechtsträger von Amts wegen den Tag der Eintragung der Verschmelzung im Register des Sitzes des übernehmenden Rechtsträgers im Register des Sitzes des übertragenden Rechtsträgers zu vermerken und die bei ihm aufbewahrten Dokumente dem Gericht des Sitzes des übernehmenden Rechtsträgers zur Aufbewahrung zu übermitteln.</w:t>
      </w:r>
    </w:p>
    <w:p>
      <w:r>
        <w:t xml:space="preserve">(3) Das Gericht des Sitzes jedes der an der Verschmelzung beteiligten Rechtsträger hat jeweils die von ihm vorgenommene Eintragung der Verschmelzung von Amts wegen nach § 10 des Handelsgesetzbuchs bekanntzumachen.</w:t>
      </w:r>
    </w:p>
    <w:p>
      <w:r>
        <w:rPr>
          <w:color w:val="555555"/>
          <w:sz w:val="17"/>
        </w:rPr>
        <w:t xml:space="preserve">Zitiervorschlag: § 19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