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183 UmwG 1995 — Bestellung eines Treuhänders</w:t>
      </w:r>
    </w:p>
    <w:p>
      <w:r>
        <w:rPr>
          <w:color w:val="555555"/>
          <w:sz w:val="18"/>
        </w:rPr>
        <w:t xml:space="preserve">Umwandlungsgesetz</w:t>
      </w:r>
    </w:p>
    <w:p>
      <w:r>
        <w:rPr>
          <w:color w:val="555555"/>
          <w:sz w:val="18"/>
        </w:rPr>
        <w:t xml:space="preserve">Stand: 10.06.2019 (konsolidierte Textfassung, kein amtliches Inkrafttretensdatum)</w:t>
      </w:r>
    </w:p>
    <w:p>
      <w:r>
        <w:t xml:space="preserve">(1) Ist für die Vermögensübertragung eine Gegenleistung vereinbart worden, so hat der übertragende Verein einen Treuhänder für deren Empfang zu bestellen. Die Vermögensübertragung darf erst eingetragen werden, wenn der Treuhänder dem Gericht angezeigt hat, daß er im Besitz der Gegenleistung ist.</w:t>
      </w:r>
    </w:p>
    <w:p>
      <w:r>
        <w:t xml:space="preserve">(2) Bestimmt das Gericht nach § 181 Abs. 4 die Gegenleistung, so hat es von Amts wegen einen Treuhänder für deren Empfang zu bestellen. Die Gegenleistung steht zu gleichen Teilen den Mitgliedern zu, die dem Verein seit mindestens drei Monaten vor dem Beschluß der obersten Vertretung über die Vermögensübertragung angehört haben. § 26 Abs. 4 ist entsprechend anzuwenden.</w:t>
      </w:r>
    </w:p>
    <w:p>
      <w:r>
        <w:rPr>
          <w:color w:val="555555"/>
          <w:sz w:val="17"/>
        </w:rPr>
        <w:t xml:space="preserve">Zitiervorschlag: § 183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https://recht.nulegal.eu/gesetze/UmwG%201995/183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