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172 UmwG 1995 — Haftung der Körperschaft oder des Zusammenschlusses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den Übergang der Verbindlichkeiten auf den übernehmenden oder neuen Rechtsträger wird die Körperschaft oder der Zusammenschluß von der Haftung für die Verbindlichkeiten nicht befreit. § 418 des Bürgerlichen Gesetzbuchs ist nicht anzuwenden.</w:t>
      </w:r>
    </w:p>
    <w:p>
      <w:r>
        <w:rPr>
          <w:color w:val="555555"/>
          <w:sz w:val="17"/>
        </w:rPr>
        <w:t xml:space="preserve">Zitiervorschlag: § 172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