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162 UmwG 1995 — Ausgliederungsbericht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Ausgliederungsbericht ist nur erforderlich, wenn die Ausgliederung nach § 164 Abs. 1 der staatlichen Genehmigung bedarf oder wenn sie bei Lebzeiten des Stifters von dessen Zustimmung abhängig ist.</w:t>
      </w:r>
    </w:p>
    <w:p>
      <w:r>
        <w:t xml:space="preserve">(2) Soweit nach § 164 Abs. 1 die Ausgliederung der staatlichen Genehmigung oder der Zustimmung des Stifters bedarf, ist der Ausgliederungsbericht der zuständigen Behörde und dem Stifter zu übermitteln.</w:t>
      </w:r>
    </w:p>
    <w:p>
      <w:r>
        <w:rPr>
          <w:color w:val="555555"/>
          <w:sz w:val="17"/>
        </w:rPr>
        <w:t xml:space="preserve">Zitiervorschlag: § 162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https://recht.nulegal.eu/gesetze/UmwG%201995/162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162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