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UmwG 1995 — Anmeldung der Verschmelzung</w:t>
      </w:r>
    </w:p>
    <w:p>
      <w:r>
        <w:rPr>
          <w:color w:val="555555"/>
          <w:sz w:val="18"/>
        </w:rPr>
        <w:t xml:space="preserve">Umwandlungsgesetz</w:t>
      </w:r>
    </w:p>
    <w:p>
      <w:r>
        <w:rPr>
          <w:color w:val="555555"/>
          <w:sz w:val="18"/>
        </w:rPr>
        <w:t xml:space="preserve">Stand: 01.01.2024 (konsolidierte Textfassung, kein amtliches Inkrafttretensdatum)</w:t>
      </w:r>
    </w:p>
    <w:p>
      <w:r>
        <w:t xml:space="preserve">(1) Die Vertretungsorgane jedes der an der Verschmelzung beteiligten Rechtsträger haben die Verschmelzung zur Eintragung in das Register (Handelsregister, Genossenschaftsregister, Gesellschaftsregister, Partnerschaftsregister oder Vereinsregister) des Sitzes ihres Rechtsträgers anzumelden. Das Vertretungsorgan des übernehmenden Rechtsträgers ist berechtigt, die Verschmelzung auch zur Eintragung in das Register des Sitzes jedes der übertragenden Rechtsträger anzumelden.</w:t>
      </w:r>
    </w:p>
    <w:p>
      <w:r>
        <w:t xml:space="preserve">(2) Bei der Anmeldung haben die Vertretungsorgane zu erklären, daß eine Klage gegen die Wirksamkeit eines Verschmelzungsbeschlusses nicht oder nicht fristgemäß erhoben oder eine solche Klage rechtskräftig abgewiesen oder zurückgenommen worden ist; hierüber haben die Vertretungsorgane dem Registergericht auch nach der Anmeldung Mitteilung zu machen. Liegt die Erklärung nicht vor, so darf die Verschmelzung nicht eingetragen werden, es sei denn, daß die klageberechtigten Anteilsinhaber durch notariell beurkundete Verzichtserklärung auf die Klage gegen die Wirksamkeit des Verschmelzungsbeschlusses verzichten.</w:t>
      </w:r>
    </w:p>
    <w:p>
      <w:r>
        <w:t xml:space="preserve">(3) Der Erklärung nach Absatz 2 Satz 1 steht es gleich, wenn nach Erhebung einer Klage gegen die Wirksamkeit eines Verschmelzungsbeschlusses das Gericht auf Antrag des Rechtsträgers, gegen dessen Verschmelzungsbeschluß sich die Klage richtet, durch Beschluß festgestellt hat, daß die Erhebung der Klage der Eintragung nicht entgegensteht. Auf das Verfahren sind § 247 des Aktiengesetzes, die §§ 82, 83 Abs. 1 und § 84 der Zivilprozessordnung sowie die im ersten Rechtszug für das Verfahren vor den Landgerichten geltenden Vorschriften der Zivilprozessordnung entsprechend anzuwenden, soweit nichts Abweichendes bestimmt ist. Ein Beschluss nach Satz 1 ergeht, wenn</w:t>
      </w:r>
    </w:p>
    <w:p>
      <w:pPr>
        <w:ind w:left="420"/>
      </w:pPr>
      <w:r>
        <w:t xml:space="preserve">1. die Klage unzulässig oder offensichtlich unbegründet ist oder</w:t>
      </w:r>
    </w:p>
    <w:p>
      <w:pPr>
        <w:ind w:left="420"/>
      </w:pPr>
      <w:r>
        <w:t xml:space="preserve">2. der Kläger nicht binnen einer Woche nach Zustellung des Antrags durch Urkunden nachgewiesen hat, dass er seit Bekanntmachung der Einberufung einen anteiligen Betrag von mindestens 1 000 Euro hält oder</w:t>
      </w:r>
    </w:p>
    <w:p>
      <w:pPr>
        <w:ind w:left="420"/>
      </w:pPr>
      <w:r>
        <w:t xml:space="preserve">3. das alsbaldige Wirksamwerden der Verschmelzung vorrangig erscheint, weil die vom Antragsteller dargelegten wesentlichen Nachteile für die an der Verschmelzung beteiligten Rechtsträger und ihre Anteilsinhaber nach freier Überzeugung des Gerichts die Nachteile für den Antragsgegner überwiegen, es sei denn, es liegt eine besondere Schwere des Rechtsverstoßes vor.</w:t>
      </w:r>
    </w:p>
    <w:p>
      <w:r>
        <w:t xml:space="preserve">Der Beschluß kann in dringenden Fällen ohne mündliche Verhandlung ergehen. Der Beschluss soll spätestens drei Monate nach Antragstellung ergehen; Verzögerungen der Entscheidung sind durch unanfechtbaren Beschluss zu begründen. Die vorgebrachten Tatsachen, auf Grund derer der Beschluß nach Satz 3 ergehen kann, sind glaubhaft zu machen. Über den Antrag entscheidet ein Senat des Oberlandesgerichts, in dessen Bezirk die Gesellschaft ihren Sitz hat. Eine Übertragung auf den Einzelrichter ist ausgeschlossen; einer Güteverhandlung bedarf es nicht. Der Beschluss ist unanfechtbar. Erweist sich die Klage als begründet, so ist der Rechtsträger, der den Beschluß erwirkt hat, verpflichtet, dem Antragsgegner den Schaden zu ersetzen, der ihm aus einer auf dem Beschluß beruhenden Eintragung der Verschmelzung entstanden ist; als Ersatz des Schadens kann nicht die Beseitigung der Wirkungen der Eintragung der Verschmelzung im Register des Sitzes des übernehmenden Rechtsträgers verlangt werden.</w:t>
      </w:r>
    </w:p>
    <w:p>
      <w:r>
        <w:rPr>
          <w:color w:val="555555"/>
          <w:sz w:val="17"/>
        </w:rPr>
        <w:t xml:space="preserve">Zitiervorschlag: § 16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