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UmwG 1995 — Kündigungsschutzrecht</w:t>
      </w:r>
    </w:p>
    <w:p>
      <w:r>
        <w:rPr>
          <w:color w:val="555555"/>
          <w:sz w:val="18"/>
        </w:rPr>
        <w:t xml:space="preserve">Umwandlungsgesetz</w:t>
      </w:r>
    </w:p>
    <w:p>
      <w:r>
        <w:rPr>
          <w:color w:val="555555"/>
          <w:sz w:val="18"/>
        </w:rPr>
        <w:t xml:space="preserve">Stand: 07.03.2023 (konsolidierte Textfassung, kein amtliches Inkrafttretensdatum)</w:t>
      </w:r>
    </w:p>
    <w:p>
      <w:r>
        <w:t xml:space="preserve">(1) Führen an einer Spaltung beteiligte Rechtsträger nach dem Wirksamwerden der Spaltung einen Betrieb gemeinsam, so gilt dieser als Betrieb im Sinne des Kündigungsschutzrechts.</w:t>
      </w:r>
    </w:p>
    <w:p>
      <w:r>
        <w:t xml:space="preserve">(2) Die kündigungsrechtliche Stellung eines Arbeitnehmers, der vor dem Wirksamwerden einer Spaltung zu dem übertragenden Rechtsträger in einem Arbeitsverhältnis steht, verschlechtert sich auf Grund der Spaltung für die Dauer von zwei Jahren ab dem Zeitpunkt ihres Wirksamwerdens nicht.</w:t>
      </w:r>
    </w:p>
    <w:p>
      <w:r>
        <w:rPr>
          <w:color w:val="555555"/>
          <w:sz w:val="17"/>
        </w:rPr>
        <w:t xml:space="preserve">Zitiervorschlag: § 132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