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128 UmwG 1995 — Zustimmung zur Spaltung in Sonderfällen</w:t>
      </w:r>
    </w:p>
    <w:p>
      <w:r>
        <w:rPr>
          <w:color w:val="555555"/>
          <w:sz w:val="18"/>
        </w:rPr>
        <w:t xml:space="preserve">Umwandlungsgesetz</w:t>
      </w:r>
    </w:p>
    <w:p>
      <w:r>
        <w:rPr>
          <w:color w:val="555555"/>
          <w:sz w:val="18"/>
        </w:rPr>
        <w:t xml:space="preserve">Stand: 10.06.2019 (konsolidierte Textfassung, kein amtliches Inkrafttretensdatum)</w:t>
      </w:r>
    </w:p>
    <w:p>
      <w:r>
        <w:t xml:space="preserve">Werden bei Aufspaltung oder Abspaltung die Anteile oder Mitgliedschaften der übernehmenden Rechtsträger den Anteilsinhabern des übertragenden Rechtsträgers nicht in dem Verhältnis zugeteilt, das ihrer Beteiligung an dem übertragenden Rechtsträger entspricht, so wird der Spaltungs- und Übernahmevertrag nur wirksam, wenn ihm alle Anteilsinhaber des übertragenden Rechtsträgers zustimmen. Bei einer Spaltung zur Aufnahme ist der Berechnung des Beteiligungsverhältnisses der jeweils zu übertragende Teil des Vermögens zugrunde zu legen.</w:t>
      </w:r>
    </w:p>
    <w:p>
      <w:r>
        <w:rPr>
          <w:color w:val="555555"/>
          <w:sz w:val="17"/>
        </w:rPr>
        <w:t xml:space="preserve">Zitiervorschlag: § 128 UmwG 1995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https://recht.nulegal.eu/gesetze/UmwG%201995/128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