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112 UmwG 1995 — Vorbereitung, Durchführung und Beschluß der Versammlung der obersten Vertretung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Von der Einberufung der Versammlung der obersten Vertretung an, die gemäß § 13 Abs. 1 über die Zustimmung zum Verschmelzungsvertrag beschließen soll, sind in dem Geschäftsraum des Vereins die in § 63 Abs. 1 bezeichneten Unterlagen zur Einsicht der Mitglieder auszulegen. Dazu erforderliche Zwischenbilanzen sind gemäß § 63 Absatz 2 Satz 1 bis 4 aufzustellen.</w:t>
      </w:r>
    </w:p>
    <w:p>
      <w:r>
        <w:t xml:space="preserve">(2) In der Versammlung der obersten Vertretung sind die in § 63 Abs. 1 bezeichneten Unterlagen auszulegen. § 64 Abs. 1 Satz 2 und Abs. 2 ist entsprechend anzuwenden.</w:t>
      </w:r>
    </w:p>
    <w:p>
      <w:r>
        <w:t xml:space="preserve">(3) Der Verschmelzungsbeschluß der obersten Vertretung bedarf einer Mehrheit von drei Vierteln der abgegebenen Stimmen. Die Satzung kann eine größere Mehrheit und weitere Erfordernisse bestimmen.</w:t>
      </w:r>
    </w:p>
    <w:p>
      <w:r>
        <w:rPr>
          <w:color w:val="555555"/>
          <w:sz w:val="17"/>
        </w:rPr>
        <w:t xml:space="preserve">Zitiervorschlag: § 112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https://recht.nulegal.eu/gesetze/UmwG%201995/112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