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UmwAusbV — Ausbildungsrahmenplan</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Die Fertigkeiten und Kenntnisse nach § 16 sollen unter Berücksichtigung der Schwerpunkte "Logistik, Sammlung und Vertrieb", "Abfallverwertung und -behandlung" und "Abfallbeseitigung und -behandlung" nach der in der Anlage 3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17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