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UmstRückstG</w:t>
      </w:r>
    </w:p>
    <w:p>
      <w:r>
        <w:rPr>
          <w:color w:val="555555"/>
          <w:sz w:val="18"/>
        </w:rPr>
        <w:t xml:space="preserve">Gesetz über die Bildung von Rückstellungen in der Umstellungsrechnung der Geldinstitute, Versicherungsunternehmen und Bausparkassen und in der Altbankenrechnung der Berliner Altbanken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Geldinstitute, Versicherungsunternehmen und Bausparkassen dürfen für Versorgungsverpflichtungen aus § 61 des Gesetzes zur Regelung der Rechtsverhältnisse der unter Artikel 131 des Grundgesetzes fallenden Personen in der Fassung vom 11. September 1957 (Bundesgesetzbl. I S. 1296) nach Maßgabe der Achtunddreißigsten Durchführungsverordnung zum Umstellungsgesetz Rückstellungen in ihrer Umstellungsrechnung bilden.</w:t>
      </w:r>
    </w:p>
    <w:p>
      <w:r>
        <w:t xml:space="preserve">(2) Berliner Altbanken dürfen für Versorgungsverpflichtungen aus § 61 des Gesetzes zur Regelung der Rechtsverhältnisse der unter Artikel 131 des Grundgesetzes fallenden Personen nach Maßgabe des § 8 Abs. 3 des Altbanken-Bilanz-Gesetzes vom 10. Dezember 1953 (Gesetz- und Verordnungsblatt für Berlin S. 1488) Rückstellungen in ihrer Altbankenrechnung bilden.</w:t>
      </w:r>
    </w:p>
    <w:p>
      <w:r>
        <w:t xml:space="preserve">(3) Die nach Absatz 1 und 2 zu bildenden Rückstellungen haben keine Rückwirkung auf die Reichsmarkschlußbilanz. Für die Berechnung des vorläufigen Eigenkapitals bleiben sie außer Ansatz.</w:t>
      </w:r>
    </w:p>
    <w:p>
      <w:r>
        <w:rPr>
          <w:color w:val="555555"/>
          <w:sz w:val="17"/>
        </w:rPr>
        <w:t xml:space="preserve">Zitiervorschlag: § 1 UmstRückstG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https://recht.nulegal.eu/gesetze/UmstR%C3%BCckstG/1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UmstRückstG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