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UmstGeldInstV</w:t>
      </w:r>
    </w:p>
    <w:p>
      <w:r>
        <w:rPr>
          <w:color w:val="555555"/>
          <w:sz w:val="18"/>
        </w:rPr>
        <w:t xml:space="preserve">Verordnung über die Umstellungsrechnung der Geldinstitute aus Anlaß der Neuordnung des Geldwesens</w:t>
      </w:r>
    </w:p>
    <w:p>
      <w:r>
        <w:rPr>
          <w:color w:val="555555"/>
          <w:sz w:val="18"/>
        </w:rPr>
        <w:t xml:space="preserve">Stand: 10.06.2019 (konsolidierte Textfassung, kein amtliches Inkrafttretensdatum)</w:t>
      </w:r>
    </w:p>
    <w:p>
      <w:r>
        <w:t xml:space="preserve">Auf Grund des § 1 des Gesetzes über den Erlaß von Rechtsverordnungen auf dem Gebiet der Neuordnung des Geldwesens und über die Neufestsetzung des Nennkapitals von Geldinstituten in der Rechtsform von Kapitalgesellschaften vom 21. April 1953 (Bundesgesetzbl. I S. 127) verordnet die Bundesregierung mit Zustimmung des Bundesrates:</w:t>
      </w:r>
    </w:p>
    <w:p>
      <w:r>
        <w:rPr>
          <w:color w:val="555555"/>
          <w:sz w:val="17"/>
        </w:rPr>
        <w:t xml:space="preserve">Zitiervorschlag: Eingangsformel UmstGeldInstV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https://recht.nulegal.eu/gesetze/UmstGeldInstV/eingangsformel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