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UmstGeldInstV — Durchlaufende Kredite</w:t>
      </w:r>
    </w:p>
    <w:p>
      <w:r>
        <w:rPr>
          <w:color w:val="555555"/>
          <w:sz w:val="18"/>
        </w:rPr>
        <w:t xml:space="preserve">Verordnung über die Umstellungsrechnung der Geldinstitute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Durchlaufende Kredite aus Treuhandgeschäften sind auf der Aktivseite und auf der Passivseite mit dem gleichen Betrag anzusetzen und</w:t>
      </w:r>
    </w:p>
    <w:p>
      <w:pPr>
        <w:ind w:left="420"/>
      </w:pPr>
      <w:r>
        <w:t xml:space="preserve">1. bei der Berechnung des vorläufigen Eigenkapitals nach § 5 Abs. 2 der Bankenverordnung sowohl von den Aktivposten als auch den Passivposten,</w:t>
      </w:r>
    </w:p>
    <w:p>
      <w:pPr>
        <w:ind w:left="420"/>
      </w:pPr>
      <w:r>
        <w:t xml:space="preserve">2. bei der Berechnung des vorläufigen Eigenkapitals nach § 5 Abs. 3 der Bankenverordnung von den Verbindlichkeiten</w:t>
      </w:r>
    </w:p>
    <w:p>
      <w:r>
        <w:t xml:space="preserve">abzusetzen.</w:t>
      </w:r>
    </w:p>
    <w:p>
      <w:r>
        <w:rPr>
          <w:color w:val="555555"/>
          <w:sz w:val="17"/>
        </w:rPr>
        <w:t xml:space="preserve">Zitiervorschlag: § 23 UmstGeldInstV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https://recht.nulegal.eu/gesetze/UmstGeldInstV/23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