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UmstGeldInstV — Rückerstattungs- und Wiedergutmachungsverbindlichkeiten</w:t>
      </w:r>
    </w:p>
    <w:p>
      <w:r>
        <w:rPr>
          <w:color w:val="555555"/>
          <w:sz w:val="18"/>
        </w:rPr>
        <w:t xml:space="preserve">Verordnung über die Umstellungsrechnung der Geldinstitute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Rückerstattungs- und Wiedergutmachungsverbindlichkeiten dürfen erst berücksichtigt werden, wenn ihr Umfang durch Entscheidung oder Vergleich festgestellt ist.</w:t>
      </w:r>
    </w:p>
    <w:p>
      <w:r>
        <w:rPr>
          <w:color w:val="555555"/>
          <w:sz w:val="17"/>
        </w:rPr>
        <w:t xml:space="preserve">Zitiervorschlag: § 20 UmstGeldInstV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https://recht.nulegal.eu/gesetze/UmstGeldInstV/20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