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UmstGeldInstV — Einrichtungsgegenstände</w:t>
      </w:r>
    </w:p>
    <w:p>
      <w:r>
        <w:rPr>
          <w:color w:val="555555"/>
          <w:sz w:val="18"/>
        </w:rPr>
        <w:t xml:space="preserve">Verordnung über die Umstellungsrechnung der Geldinstitute aus Anlaß der Neuordnung des Geldwesens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Einrichtungsgegenstände sind</w:t>
      </w:r>
    </w:p>
    <w:p>
      <w:pPr>
        <w:ind w:left="420"/>
      </w:pPr>
      <w:r>
        <w:t xml:space="preserve">1. mit den am 31. August 1948 geltenden gewöhnlichen Wiederbeschaffungs- oder Herstellungskosten für neue Gegenstände dieser Art oder</w:t>
      </w:r>
    </w:p>
    <w:p>
      <w:pPr>
        <w:ind w:left="420"/>
      </w:pPr>
      <w:r>
        <w:t xml:space="preserve">2. mit 120 vom Hundert, Büromaschinen mit 150 vom Hundert, der tatsächlichen Anschaffungskosten</w:t>
      </w:r>
    </w:p>
    <w:p>
      <w:r>
        <w:t xml:space="preserve">unter Berücksichtigung der Restnutzungsdauer im Verhältnis zur bisherigen Nutzungsdauer anzusetzen.</w:t>
      </w:r>
    </w:p>
    <w:p>
      <w:r>
        <w:t xml:space="preserve">(2) Die gesamten Einrichtungsgegenstände dürfen mit 20 vom Hundert des sich nach Absatz 1 ergebenden Ausgangsbetrages angesetzt werden, wenn mehr als 70 vom Hundert dieses Betrages auf Einrichtungsgegenstände entfallen, die bereits seit dem 1. Januar 1940 zum Betriebsvermögen des Geldinstituts gehört haben.</w:t>
      </w:r>
    </w:p>
    <w:p>
      <w:r>
        <w:t xml:space="preserve">(3) Bei dem Ansatz der Einrichtungsgegenstände nach Absatz 2 sind festeingebaute Tresoranlagen, Stahl- und Panzerkammern (Betonverstärkungen der Decken, Wände und Böden, Stahlbewehrungen, Panzer- und Gittertüren) nicht zu berücksichtigen. Soweit sie nicht bei der Festsetzung des Einheitswertes des Grundstücks berücksichtigt sind, sind sie nach Absatz 1 anzusetzen.</w:t>
      </w:r>
    </w:p>
    <w:p>
      <w:r>
        <w:rPr>
          <w:color w:val="555555"/>
          <w:sz w:val="17"/>
        </w:rPr>
        <w:t xml:space="preserve">Zitiervorschlag: § 11 UmstGeldInstV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https://recht.nulegal.eu/gesetze/UmstGeldInstV/11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