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UmstGeldInstV — Grundstücke</w:t>
      </w:r>
    </w:p>
    <w:p>
      <w:r>
        <w:rPr>
          <w:color w:val="555555"/>
          <w:sz w:val="18"/>
        </w:rPr>
        <w:t xml:space="preserve">Verordnung über die Umstellungsrechnung der Geldinstitute aus Anlaß der Neuordnung des Geldwesens</w:t>
      </w:r>
    </w:p>
    <w:p>
      <w:r>
        <w:rPr>
          <w:color w:val="555555"/>
          <w:sz w:val="18"/>
        </w:rPr>
        <w:t xml:space="preserve">Stand: 10.06.2019 (konsolidierte Textfassung, kein amtliches Inkrafttretensdatum)</w:t>
      </w:r>
    </w:p>
    <w:p>
      <w:r>
        <w:t xml:space="preserve">Grundstücke im Bundesgebiet und in Berlin (West) sind mit einer Deutschen Mark für je eine Reichsmark des zuletzt vor dem 21. Juni 1948 festgesetzten Einheitswertes anzusetzen. Wertfortschreibungen nach dem 20. Juni 1948 sind insoweit zu berücksichtigen, als sie im Hinblick auf die Verhältnisse des Grundstücks vorgenommen wurden oder werden, die am 21. Juni 1948 bestanden haben.</w:t>
      </w:r>
    </w:p>
    <w:p>
      <w:r>
        <w:rPr>
          <w:color w:val="555555"/>
          <w:sz w:val="17"/>
        </w:rPr>
        <w:t xml:space="preserve">Zitiervorschlag: § 10 UmstGeldInstV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https://recht.nulegal.eu/gesetze/UmstGeldInstV/10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