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UmstGeldInstV — Allgemeine Vorschriften für den Ansatz der Aktiven und der Passiven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Umstellungsrechnung von Geldinstituten, die eine Ausgleichsforderung in Anspruch nehmen, sind die für die Aktiven vorgeschriebenen Wertansätze Mindestwerte und die für die Passiven zugelassenen Wertansätze Höchstwerte.</w:t>
      </w:r>
    </w:p>
    <w:p>
      <w:r>
        <w:t xml:space="preserve">(2) Die für die Aktiven vorgeschriebenen Wertansätze sind für die Eigenkapitalberechnung von Geldinstituten, die eine Ausgleichsforderung in Anspruch nehmen und das vorläufige Eigenkapital nach § 5 Abs. 2 der Zweiten Durchführungsverordnung zum Umstellungsgesetz (Bankenverordnung) in die Umstellungsrechnung einstellen, Höchstwerte.</w:t>
      </w:r>
    </w:p>
    <w:p>
      <w:r>
        <w:t xml:space="preserve">(3) Soweit die Absätze 1 und 2 nicht entgegenstehen, dürfen Geldinstitute ihre Aktiven und ihre Passiven in der Umstellungsrechnung in den nach den Vorschriften des D-Markbilanzgesetzes zulässigen Grenzen bewerten. Weichen sie dabei von den nach Absatz 1 für die Aktiven vorgeschriebenen und für die Passiven zugelassenen Wertansätzen ab, so ist dies ohne Einfluß auf die Höhe des nach § 8 Satz 3 der Bankenverordnung abzuführenden Überschusses. Geldinstitute, die eine Ausgleichsforderung nicht in Anspruch nehmen und bei der Bewertung von den Vorschriften des Absatzes 1 abweichen, haben dies in dem der Bankaufsichtsbehörde nach § 3 Abs. 2 Satz 1 der Bankenverordnung einzureichenden Bericht zu erläutern.</w:t>
      </w:r>
    </w:p>
    <w:p>
      <w:r>
        <w:t xml:space="preserve">(4) Auf Geldinstitute, die eine Ausgleichsforderung nicht in Anspruch nehmen, findet § 75 des D-Markbilanzgesetzes mit der Maßgabe Anwendung, daß an die Stelle der Wertansätze nach den Grundsätzen des D-Markbilanzgesetzes die nach Absatz 1 sich ergebenden Wertansätze treten.</w:t>
      </w:r>
    </w:p>
    <w:p>
      <w:r>
        <w:t xml:space="preserve">(5) Als Ausgleichsforderungen im Sinne der Absätze 1 bis 4 gelten nicht Sonderausgleichsforderungen gemäß § 2 der Fünfundvierzigsten Durchführungsverordnung zum Umstellungsgesetz sowie Ausgleichsforderungen, die nicht auf § 11 des Umstellungsgesetzes und § 8 der Bankenverordnung beruhen.</w:t>
      </w:r>
    </w:p>
    <w:p>
      <w:r>
        <w:rPr>
          <w:color w:val="555555"/>
          <w:sz w:val="17"/>
        </w:rPr>
        <w:t xml:space="preserve">Zitiervorschlag: § 1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