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UmstGErwNwG</w:t>
      </w:r>
    </w:p>
    <w:p>
      <w:r>
        <w:rPr>
          <w:color w:val="555555"/>
          <w:sz w:val="18"/>
        </w:rPr>
        <w:t xml:space="preserve">Gesetz über den Nachweis der Rechtmäßigkeit des Erwerbs von Umstellungsguthaben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Kontoinhaber ist verpflichtet, innerhalb einer Frist von 10 Tagen nach Zugang des Verlangens die Rechtmäßigkeit des Erwerbs des Gesamtguthabens nachzuweisen.</w:t>
      </w:r>
    </w:p>
    <w:p>
      <w:r>
        <w:t xml:space="preserve">(2) Die Unterlagen sind bei dem zeitweiligen Sonderausschuß einzureichen.</w:t>
      </w:r>
    </w:p>
    <w:p>
      <w:r>
        <w:rPr>
          <w:color w:val="555555"/>
          <w:sz w:val="17"/>
        </w:rPr>
        <w:t xml:space="preserve">Zitiervorschlag: § 4 UmstGErwNwG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https://recht.nulegal.eu/gesetze/UmstGErwNwG/4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