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UmstG — Freigabe der restlichen Altgeldguthaben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ein Guthaben, das dem Verfügungsverbot des § 2 Abs. 1 Satz 2 unterliegt, darf auch nach etwaiger Aufhebung dieses Verbots nur verfügt werden, wenn das Finanzamt nach Durchführung des im § 7 vorgesehenen Verfahrens Verfügungen über das Guthaben genehmigt.</w:t>
      </w:r>
    </w:p>
    <w:p>
      <w:r>
        <w:t xml:space="preserve">(2) Ebenso darf der Teil der Altgeldguthaben, der nach Abzug der im § 4 bezeichneten Beträge und der nach § 5 freigegebenen Beträge verbleibt, nur mit Genehmigung des Finanzamts zur Umwandlung in Neugeldguthaben freigegeben werden.</w:t>
      </w:r>
    </w:p>
    <w:p>
      <w:r>
        <w:rPr>
          <w:color w:val="555555"/>
          <w:sz w:val="17"/>
        </w:rPr>
        <w:t xml:space="preserve">Zitiervorschlag: § 6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