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UmstG — Anrechnung der Kopfbeträge und der Geschäftsbeträge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6 des Währungsgesetzes in Deutscher Mark ausgezahlten Kopfbeträge und die nach § 17 des Währungsgesetzes in Deutscher Mark erhobenen Geschäftsbeträge werden auf die Beträge in Deutscher Mark, die den Altgeldbesitzern nach § 2 Abs. 1 zustehen, grundsätzlich voll angerechnet. Demgemäß vermindert sich der Anspruch auf Umwandlung von Altgeldguthaben in Neugeldguthaben</w:t>
      </w:r>
    </w:p>
    <w:p>
      <w:pPr>
        <w:ind w:left="420"/>
      </w:pPr>
      <w:r>
        <w:t xml:space="preserve">a) zum Ausgleich der Kopfbeträge</w:t>
      </w:r>
    </w:p>
    <w:p>
      <w:pPr>
        <w:ind w:left="780"/>
      </w:pPr>
      <w:r>
        <w:t xml:space="preserve">um je fünfhundertvierzig Reichsmark für den Inhaber des Reichsmark-Abwicklungskontos und für jede Person, die zu seiner Familie gehört,</w:t>
      </w:r>
    </w:p>
    <w:p>
      <w:pPr>
        <w:ind w:left="420"/>
      </w:pPr>
      <w:r>
        <w:t xml:space="preserve">b) zum Ausgleich des Geschäftsbetrages</w:t>
      </w:r>
    </w:p>
    <w:p>
      <w:pPr>
        <w:ind w:left="780"/>
      </w:pPr>
      <w:r>
        <w:t xml:space="preserve">um je zehn Reichsmark für jede Deutsche Mark des Geschäftsbetrages.</w:t>
      </w:r>
    </w:p>
    <w:p>
      <w:r>
        <w:rPr>
          <w:color w:val="555555"/>
          <w:sz w:val="17"/>
        </w:rPr>
        <w:t xml:space="preserve">Zitiervorschlag: § 4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