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UmstG — Inkrafttreten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Text amerikanisches Kontrollgebiet: Dieses Gesetz tritt in den Ländern Bayern, Bremen, Hessen und Württemberg-Baden am 27. Juni 1948 in Kraft. IM AUFTRAGE DER MILITÄRREGIERUNG</w:t>
      </w:r>
    </w:p>
    <w:p>
      <w:r>
        <w:t xml:space="preserve">Text britisches Kontrollgebiet: Dieses Gesetz tritt am 27. Juni 1948 in Kraft. IM AUFTRAGE DER MILITÄRREGIERUNG</w:t>
      </w:r>
    </w:p>
    <w:p>
      <w:r>
        <w:t xml:space="preserve">Text französisches Kontrollgebiet: Diese Verordnung tritt am 27. Juni 1948 in Kraft. Sie ist im Amtsblatt des französischen Oberkommandos in Deutschland zu veröffentlichen und als Gesetz auszuführen.</w:t>
      </w:r>
    </w:p>
    <w:p>
      <w:r>
        <w:rPr>
          <w:color w:val="555555"/>
          <w:sz w:val="17"/>
        </w:rPr>
        <w:t xml:space="preserve">Zitiervorschlag: § 35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