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UmstG — Schlußbestimmungen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Wortlaut dieses Gesetzes ist der maßgebende Wortlaut. Die Vorschriften der Militärregierungsverordnung Nr. 3 und des Artikels II Ziff. 5 des Militärregierungsgesetzes Nr. 4 finden auf diesen Wortlaut keine Anwendung.</w:t>
      </w:r>
    </w:p>
    <w:p>
      <w:r>
        <w:t xml:space="preserve">(2) Die Behandlung der Altgeldguthaben der im § 21 des Währungsgesetzes bezeichneten Art wird durch besondere Vorschriften geregelt.</w:t>
      </w:r>
    </w:p>
    <w:p>
      <w:r>
        <w:t xml:space="preserve">(3) Altgeldguthaben der Besatzungsmächte (§ 23 des Währungsgesetzes) erlöschen hiermit.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§ 34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