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UmstG — Freigabe der Altgeldguthaben zur Umwandlung in Neugeldguthaben</w:t>
      </w:r>
    </w:p>
    <w:p>
      <w:r>
        <w:rPr>
          <w:color w:val="555555"/>
          <w:sz w:val="18"/>
        </w:rPr>
        <w:t xml:space="preserve">Umstellungsgesetz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in diesem Gesetz oder in den Durchführungsverordnungen zu diesem Gesetz nichts anderes vorgeschrieben oder zugelassen wird, dürfen die Geldinstitute Altgeldguthaben der Gruppe I erst nach Freigabe durch die zuständige Abwicklungsbank in Neugeldguthaben umwandeln.</w:t>
      </w:r>
    </w:p>
    <w:p>
      <w:r>
        <w:t xml:space="preserve">(2) Die Abwicklungsbank darf Altgeldguthaben nur unter den in den §§ 4 bis 7 bestimmten Voraussetzungen zur Umwandlung in Neugeldguthaben freigeben.</w:t>
      </w:r>
    </w:p>
    <w:p>
      <w:r>
        <w:rPr>
          <w:color w:val="555555"/>
          <w:sz w:val="17"/>
        </w:rPr>
        <w:t xml:space="preserve">Zitiervorschlag: § 3 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