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UmstG — Lastenausgleich</w:t>
      </w:r>
    </w:p>
    <w:p>
      <w:r>
        <w:rPr>
          <w:color w:val="555555"/>
          <w:sz w:val="18"/>
        </w:rPr>
        <w:t xml:space="preserve">Umstellungsgesetz</w:t>
      </w:r>
    </w:p>
    <w:p>
      <w:r>
        <w:rPr>
          <w:color w:val="555555"/>
          <w:sz w:val="18"/>
        </w:rPr>
        <w:t xml:space="preserve">Stand: 10.06.2019 (konsolidierte Textfassung, kein amtliches Inkrafttretensdatum)</w:t>
      </w:r>
    </w:p>
    <w:p>
      <w:r>
        <w:t xml:space="preserve">Die zur Durchführung des Lastenausgleichs erforderlichen Mittel sind durch besondere Vermögensabgaben aufzubringen, deren Erträge zu diesem Zweck einem außeretatmäßigen Ausgleichsfonds zuzuführen sind. Das Nähere regeln die nach der Präambel zum Währungsgesetz bis zum 31. Dezember 1948 zu erlassenden deutschen Gesetze über den Lastenausgleich. Diese bestimmen auch, inwieweit für die durch die Geldreform entstehenden Verluste oder andere Verluste eine Entschädigung zu gewähren ist. Hierbei sind insbesondere Verluste auf Grund des Kontrollratsgesetzes Nr. 5 und infolge von Reparationsentnahmen zu berücksichtigen.</w:t>
      </w:r>
    </w:p>
    <w:p>
      <w:r>
        <w:rPr>
          <w:color w:val="555555"/>
          <w:sz w:val="17"/>
        </w:rPr>
        <w:t xml:space="preserve">Zitiervorschlag: § 29 UmstG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