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UmstG — Umwandlung und Ablösung der Altgeldguthaben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Altgeldguthaben der Gruppe I werden grundsätzlich in der Weise in Neugeldguthaben umgewandelt, daß den Inhabern für je zehn Reichsmark eine Deutsche Mark gutgeschrieben wird. Hiervon ist die Hälfte frei verfügbar (Freikonto); die andere Hälfte wird einem gesperrten Konto (Festkonto) gutgeschrieben, über dessen Behandlung innerhalb von 90 Tagen entschieden werden wird.</w:t>
      </w:r>
    </w:p>
    <w:p>
      <w:r>
        <w:t xml:space="preserve">(2) Die Altgeldguthaben der Gruppe II erlöschen am 10. Juli 1948.</w:t>
      </w:r>
    </w:p>
    <w:p>
      <w:r>
        <w:t xml:space="preserve">(3) Auf Altgeldguthaben der Gruppe III findet § 9 Anwendung.</w:t>
      </w:r>
    </w:p>
    <w:p>
      <w:r>
        <w:t xml:space="preserve">(4) Die Altgeldguthaben der Gruppe IV sind von den Geldinstituten ohne weiteres nach Abs. 1 in Neugeldguthaben umzuwandeln.</w:t>
      </w:r>
    </w:p>
    <w:p>
      <w:r>
        <w:rPr>
          <w:color w:val="555555"/>
          <w:sz w:val="17"/>
        </w:rPr>
        <w:t xml:space="preserve">Zitiervorschlag: § 2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